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png" ContentType="image/png"/>
  <Override PartName="/word/media/rId87.png" ContentType="image/png"/>
  <Override PartName="/word/media/rId22.png" ContentType="image/png"/>
  <Override PartName="/word/media/rId35.png" ContentType="image/png"/>
  <Override PartName="/word/media/rId56.png" ContentType="image/png"/>
  <Override PartName="/word/media/rId61.png" ContentType="image/png"/>
  <Override PartName="/word/media/rId51.png" ContentType="image/png"/>
  <Override PartName="/word/media/rId46.png" ContentType="image/png"/>
  <Override PartName="/word/media/rId67.png" ContentType="image/png"/>
  <Override PartName="/word/media/rId29.png" ContentType="image/png"/>
  <Override PartName="/word/media/rId7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Pierre</w:t>
      </w:r>
      <w:r>
        <w:t xml:space="preserve"> </w:t>
      </w:r>
      <w:r>
        <w:t xml:space="preserve">Gernez</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Laurent</w:t>
      </w:r>
      <w:r>
        <w:t xml:space="preserve"> </w:t>
      </w:r>
      <w:r>
        <w:t xml:space="preserve">Barillé</w:t>
      </w:r>
    </w:p>
    <w:p>
      <w:pPr>
        <w:pStyle w:val="Date"/>
      </w:pPr>
      <w:r>
        <w:t xml:space="preserve">2024-02-27</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These meadows offer a myriad of ecosystem services to humanity, including limitation of coastline erosion, reducing the risk of eutrophication, carbon sequestration, and oxygen production.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their proximity to human activities, seagrass meadows are directly exposed to and impacted by anthropogenic pressures. Global regression and fragmentation are currently observed due to diseases, disasters, coastal urbanization, sea reclamation, as well as fishing activities, dredging, sea level rise, coastal erosion,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European sites, allowing an overall recovery of seagrass ecosystems at the local scale, many other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Green tides produce shade and suffication over seagrass individuals, thus threatening the health of seagrass ecosystems</w:t>
      </w:r>
      <w:r>
        <w:t xml:space="preserve"> </w:t>
      </w:r>
      <w:r>
        <w:t xml:space="preserve">(</w:t>
      </w:r>
      <w:r>
        <w:rPr>
          <w:bCs/>
          <w:b/>
        </w:rPr>
        <w:t xml:space="preserve">Duarte2002?</w:t>
      </w:r>
      <w:r>
        <w:t xml:space="preserve"> </w:t>
      </w:r>
      <w:r>
        <w:t xml:space="preserve">; Wang et al. 2022)</w:t>
      </w:r>
      <w:r>
        <w:t xml:space="preserve">.</w:t>
      </w:r>
    </w:p>
    <w:p>
      <w:pPr>
        <w:pStyle w:val="BodyText"/>
      </w:pPr>
      <w:r>
        <w:t xml:space="preserve">The importance of seagrass meadows and the variety of ecosystem services they provide have led to the enhancement of global and regional monitoring programs for systematically surveying different Essential Oceanic Variable</w:t>
      </w:r>
      <w:r>
        <w:t xml:space="preserve"> </w:t>
      </w:r>
      <w:r>
        <w:t xml:space="preserve">(Miloslavich et al. 2018)</w:t>
      </w:r>
      <w:r>
        <w:t xml:space="preserve"> </w:t>
      </w:r>
      <w:r>
        <w:t xml:space="preserve">as seagrass coverage and composition; as well as Essential Biodiversity Variable</w:t>
      </w:r>
      <w:r>
        <w:t xml:space="preserve"> </w:t>
      </w:r>
      <w:r>
        <w:t xml:space="preserve">(Pereira et al. 2013)</w:t>
      </w:r>
      <w:r>
        <w:t xml:space="preserve"> </w:t>
      </w:r>
      <w:r>
        <w:t xml:space="preserve">such as seagrass taxonomic diversity; species distribution, population abundance, and phenology. Monitoring programs also prioritize the identification of threats to these ecosystems, particularly during early stages, to facilitate effective mitigation actions. Traditionally, these ecological parameters have been quantified through in situ measurements, although this approach faces several constraints over intertidal zones. Intertidal meadows are only partially exposed during low tide and can be situated in difficult-to-reach mudflats, potentially leading to inaccurate and limited estimations with conventional sampling techniques</w:t>
      </w:r>
      <w:r>
        <w:t xml:space="preserve"> </w:t>
      </w:r>
      <w:r>
        <w:t xml:space="preserve">(Nijland, Reshitnyk, and Rubidge 2019)</w:t>
      </w:r>
      <w:r>
        <w:t xml:space="preserve">. However, satellite data have been proven effective in complenmenting in situ surveys, allowing for the rapid and consitent retrieval of EOV’s over extensive seagrass meadows.</w:t>
      </w:r>
      <w:r>
        <w:t xml:space="preserve"> </w:t>
      </w:r>
      <w:r>
        <w:t xml:space="preserve">(Zoffoli et al. 2021 ; Xu et al. 2021 ; Traganos and Reinartz 2018 ; Coffer et al. 2023)</w:t>
      </w:r>
    </w:p>
    <w:p>
      <w:pPr>
        <w:pStyle w:val="BodyText"/>
      </w:pPr>
      <w:r>
        <w:t xml:space="preserve">Satellite remote sensing offers the advantage of acquiring large-scale data in real-time but presents its inherent challenges. Free access satellite data (e.g., Sentinel-2 and Landsat8/9) provide relatively low spatial resolution data (10 - 30 m) across a limited number of spectral bands. These characteristics can be a limitation to accurately discriminating seagrass from others co-existing macrophytes over the meadow.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Gernez, et al. 2023 ; Bannari, Ali, and Abahussain 2022)</w:t>
      </w:r>
      <w:r>
        <w:t xml:space="preserve">. Recently, using a hyperspectral library,</w:t>
      </w:r>
      <w:r>
        <w:t xml:space="preserve"> </w:t>
      </w:r>
      <w:r>
        <w:t xml:space="preserve">Davies, Gernez, et al. (2023)</w:t>
      </w:r>
      <w:r>
        <w:t xml:space="preserve"> </w:t>
      </w:r>
      <w:r>
        <w:t xml:space="preserve">demonstrated that the spectral resolution of Sentinel-2, might be enough for the discrimination between Magnoliopsida and Chlorophyceae. However, green tide events occur at small spatial scales that are not observable using satellite imagery</w:t>
      </w:r>
      <w:r>
        <w:t xml:space="preserve"> </w:t>
      </w:r>
      <w:r>
        <w:t xml:space="preserve">(Tuya et al. 2013)</w:t>
      </w:r>
      <w:r>
        <w:t xml:space="preserve">, especially during the initial stage of the event.</w:t>
      </w:r>
    </w:p>
    <w:p>
      <w:pPr>
        <w:pStyle w:val="BodyText"/>
      </w:pPr>
      <w:r>
        <w:t xml:space="preserve">Remote sensing drone acquisitions are presented as a tool that can potentially fill gaps left by satellite and in situ data. Drone can cover large expanses while recording imagery at significantly higher spatial resolutions than satellite (pixel size from cm to mm) and still capturing data at multi-spectral resolution</w:t>
      </w:r>
      <w:r>
        <w:t xml:space="preserve"> </w:t>
      </w:r>
      <w:r>
        <w:t xml:space="preserve">(Fairley et al. 2022 ; Oh, Kim, and Lee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the spatial distribution of species</w:t>
      </w:r>
      <w:r>
        <w:t xml:space="preserve"> </w:t>
      </w:r>
      <w:r>
        <w:t xml:space="preserve">(Joyce, Fickas, and Kalamandeen 2023 ; Tallam et al. 2023 ; Roca et al. 2022 ; Román et al. 2021 ; Brunier et al. 2022)</w:t>
      </w:r>
      <w:r>
        <w:t xml:space="preserve">. However, when applied to coastal habitat mapping, many studies showcase their findings with study case limited to a single flight, restricting the generalizability of their application to other sites</w:t>
      </w:r>
      <w:r>
        <w:t xml:space="preserve"> </w:t>
      </w:r>
      <w:r>
        <w:t xml:space="preserve">(Román et al. 2021 ; Collin et al. 2019 ; Rossiter et al. 2020 ; Brunier et al. 2022)</w:t>
      </w:r>
      <w:r>
        <w:t xml:space="preserve">. This study aimed to analyze the potential of a drone equipped with a multispectral sensor for maping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accuracy in predictions.</w:t>
      </w:r>
    </w:p>
    <w:bookmarkEnd w:id="21"/>
    <w:bookmarkStart w:id="45" w:name="material-methods"/>
    <w:p>
      <w:pPr>
        <w:pStyle w:val="Heading1"/>
      </w:pPr>
      <w:r>
        <w:t xml:space="preserve">2. Material &amp; Methods</w:t>
      </w:r>
    </w:p>
    <w:bookmarkStart w:id="27"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With up to 6m in tidal range during spring tide, a 6 km² seagrass meadow can uncover at low tide. The sites we surveyed (L’Epine and Barbatre,</w:t>
      </w:r>
      <w:r>
        <w:t xml:space="preserve"> </w:t>
      </w:r>
      <w:hyperlink w:anchor="fig-map">
        <w:r>
          <w:rPr>
            <w:rStyle w:val="Hyperlink"/>
          </w:rPr>
          <w:t xml:space="preserve">Figure 1</w:t>
        </w:r>
      </w:hyperlink>
      <w:r>
        <w:t xml:space="preserve"> </w:t>
      </w:r>
      <w:r>
        <w:t xml:space="preserve">B) are located in the southernmost part of the bay, along the Noirmoutier Island, and host a monospecific</w:t>
      </w:r>
      <w:r>
        <w:t xml:space="preserve"> </w:t>
      </w:r>
      <w:r>
        <w:rPr>
          <w:iCs/>
          <w:i/>
        </w:rPr>
        <w:t xml:space="preserve">Zostera noltei</w:t>
      </w:r>
      <w:r>
        <w:t xml:space="preserve"> </w:t>
      </w:r>
      <w:r>
        <w:t xml:space="preserve">seagrass bed with very little mixing with other macrophytes. Three sites have been survey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were characterized by a more diverse intertidal area, where the seagrass meadow could intermingle with red algae (Rhodophyceae), brown algae (Phaeophyceae), or green algae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6" w:name="cell-fig-map"/>
    <w:tbl>
      <w:tblPr>
        <w:tblStyle w:val="Table"/>
        <w:tblW w:type="pct" w:w="5000"/>
        <w:tblLook w:firstRow="0" w:lastRow="0" w:firstColumn="0" w:lastColumn="0" w:noHBand="0" w:noVBand="0" w:val="0000"/>
        <w:jc w:val="start"/>
        <w:tblLayout w:type="fixed"/>
      </w:tblPr>
      <w:tblGrid>
        <w:gridCol w:w="7920"/>
      </w:tblGrid>
      <w:tr>
        <w:tc>
          <w:tcPr/>
          <w:bookmarkStart w:id="25" w:name="fig-map"/>
          <w:p>
            <w:pPr>
              <w:pStyle w:val="Compact"/>
              <w:jc w:val="center"/>
            </w:pPr>
            <w:r>
              <w:drawing>
                <wp:inline>
                  <wp:extent cx="5334000" cy="5334000"/>
                  <wp:effectExtent b="0" l="0" r="0" t="0"/>
                  <wp:docPr descr="" title="" id="23" name="Picture"/>
                  <a:graphic>
                    <a:graphicData uri="http://schemas.openxmlformats.org/drawingml/2006/picture">
                      <pic:pic>
                        <pic:nvPicPr>
                          <pic:cNvPr descr="./Figures/Fig1_Map_Drone_Sites.png" id="24"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where the different drone flights were made. A: Gulf of Morbihan, B: Bourngeuf Bay, C: Ria de Aveiro Lagoon. Light green represent terrestrial areas whereas darkgreen represent intertidal areas.</w:t>
            </w:r>
          </w:p>
          <w:bookmarkEnd w:id="2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6"/>
    <w:bookmarkEnd w:id="27"/>
    <w:bookmarkStart w:id="28"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blue (444 nm) to near infrared (840 nm). An angle of 90° has been maintained between the sun and the drone’s route to guarantee uniform lighting conditions between flight lines. A side overlap of 70% and a front overlap of 80% between each image has been set. Images have been calibrated in reflectance using a calibration panel reflective at ~50% provided by the camera’s manufaturer and a Downwelling Light Sensor (DLS2) that was utilized to acquire irradiance data during the flight. A Structure-from-Motion photogrammetry software (Agisoft Metashape) has been used to process images to obtain multispectral orthomosaics of each flight. The workflow for orthomosaicking has remained consistent for every flight. First, tying key points were detected inside of each image and between overlapping images in order to obtain a sparse point cloud. This cloud was cleaned using reprojection accuracy metric in order to remove noisy points. A dense point cloud has been then produced using a structure from motion algorithm. A surface interpolation of this dense point cloud has been made to obtain a Digital Surface Model (DSM), used to reconstruct the multispectral ortho-image. Across all the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28"/>
    <w:bookmarkStart w:id="34" w:name="field-sampling"/>
    <w:p>
      <w:pPr>
        <w:pStyle w:val="Heading2"/>
      </w:pPr>
      <w:r>
        <w:t xml:space="preserve">2.3 Field sampling</w:t>
      </w:r>
    </w:p>
    <w:p>
      <w:pPr>
        <w:pStyle w:val="FirstParagraph"/>
      </w:pPr>
      <w:r>
        <w:t xml:space="preserve">Before each flight, targets used as Ground Control Points (GCPs) were dispersed and georeferenced with a Trimble © Geo XH 6000 differential GPS (dGPS). GCPs were used to correct georeferencing imprecision of orthomosaics with an horizontal and vertical accuracy of 10cm. dGPS was also used to georeference quardrats of 0.25cm² used to assess the presence or absence of 5 key classes of vegetation : Bacillariophyceae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 of each quadrat were taken and uploaded on the online on the Global Biodiversity Information Facility (GBIF) platform</w:t>
      </w:r>
      <w:r>
        <w:t xml:space="preserve"> </w:t>
      </w:r>
      <w:r>
        <w:t xml:space="preserve">(Davies, Sousa, et al. 2023)</w:t>
      </w:r>
      <w:r>
        <w:t xml:space="preserve">. Each photograph was also processed to estimate the percent cover of each type of vegetation. Georeferenced hyperspectral reflectance signatures of each vegetation class were also sampled using an ASD FieldSpec HandHeld 2 spectroradiomete,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3" w:name="cell-fig-vegetation"/>
    <w:tbl>
      <w:tblPr>
        <w:tblStyle w:val="Table"/>
        <w:tblW w:type="pct" w:w="5000"/>
        <w:tblLook w:firstRow="0" w:lastRow="0" w:firstColumn="0" w:lastColumn="0" w:noHBand="0" w:noVBand="0" w:val="0000"/>
        <w:jc w:val="start"/>
        <w:tblLayout w:type="fixed"/>
      </w:tblPr>
      <w:tblGrid>
        <w:gridCol w:w="7920"/>
      </w:tblGrid>
      <w:tr>
        <w:tc>
          <w:tcPr/>
          <w:bookmarkStart w:id="32" w:name="fig-vegetation"/>
          <w:p>
            <w:pPr>
              <w:pStyle w:val="Compact"/>
              <w:jc w:val="center"/>
            </w:pPr>
            <w:r>
              <w:drawing>
                <wp:inline>
                  <wp:extent cx="5334000" cy="3733800"/>
                  <wp:effectExtent b="0" l="0" r="0" t="0"/>
                  <wp:docPr descr="" title="" id="30" name="Picture"/>
                  <a:graphic>
                    <a:graphicData uri="http://schemas.openxmlformats.org/drawingml/2006/picture">
                      <pic:pic>
                        <pic:nvPicPr>
                          <pic:cNvPr descr="Figures/Spectral_shapes_total.png" id="31" name="Picture"/>
                          <pic:cNvPicPr>
                            <a:picLocks noChangeArrowheads="1" noChangeAspect="1"/>
                          </pic:cNvPicPr>
                        </pic:nvPicPr>
                        <pic:blipFill>
                          <a:blip r:embed="rId29"/>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CNN model and their standardised spectral signature</w:t>
            </w:r>
          </w:p>
          <w:bookmarkEnd w:id="3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3"/>
    <w:bookmarkEnd w:id="34"/>
    <w:bookmarkStart w:id="44" w:name="intertidal-vegetation-mapping"/>
    <w:p>
      <w:pPr>
        <w:pStyle w:val="Heading2"/>
      </w:pPr>
      <w:r>
        <w:t xml:space="preserve">2.4 Intertidal vegetation mapping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39" w:name="cell-fig-workflow"/>
    <w:tbl>
      <w:tblPr>
        <w:tblStyle w:val="Table"/>
        <w:tblW w:type="pct" w:w="5000"/>
        <w:tblLook w:firstRow="0" w:lastRow="0" w:firstColumn="0" w:lastColumn="0" w:noHBand="0" w:noVBand="0" w:val="0000"/>
        <w:jc w:val="start"/>
        <w:tblLayout w:type="fixed"/>
      </w:tblPr>
      <w:tblGrid>
        <w:gridCol w:w="7920"/>
      </w:tblGrid>
      <w:tr>
        <w:tc>
          <w:tcPr/>
          <w:bookmarkStart w:id="38" w:name="fig-workflow"/>
          <w:p>
            <w:pPr>
              <w:pStyle w:val="Compact"/>
              <w:jc w:val="center"/>
            </w:pPr>
            <w:r>
              <w:drawing>
                <wp:inline>
                  <wp:extent cx="5334000" cy="3136503"/>
                  <wp:effectExtent b="0" l="0" r="0" t="0"/>
                  <wp:docPr descr="" title="" id="36" name="Picture"/>
                  <a:graphic>
                    <a:graphicData uri="http://schemas.openxmlformats.org/drawingml/2006/picture">
                      <pic:pic>
                        <pic:nvPicPr>
                          <pic:cNvPr descr="./Figures/Figure3_workflow.png" id="37" name="Picture"/>
                          <pic:cNvPicPr>
                            <a:picLocks noChangeArrowheads="1" noChangeAspect="1"/>
                          </pic:cNvPicPr>
                        </pic:nvPicPr>
                        <pic:blipFill>
                          <a:blip r:embed="rId35"/>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CNN model, whereas low-resolution flights were solely employed for prediction purposes.</w:t>
            </w:r>
          </w:p>
          <w:bookmarkEnd w:id="38"/>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39"/>
    <w:p>
      <w:pPr>
        <w:pStyle w:val="BodyText"/>
      </w:pPr>
      <w:r>
        <w:t xml:space="preserve">The spectral similarities of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2" w:name="neural-network-model-building"/>
    <w:p>
      <w:pPr>
        <w:pStyle w:val="Heading3"/>
      </w:pPr>
      <w:r>
        <w:t xml:space="preserve">2.4.1 Neural Network model building</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A dataset containing photo-interpreted drone reflectance pixels was built to train a Convolutional Neural Network (CNN)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of their 8 mm spatial resolution allowing to avoid spectral sub-pixel mixing and to accurately visually differentiate various vegetation classes. More than 418,000 pixels at 8 mm resolution from the 3 training flights have been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w:t>
      </w:r>
      <w:r>
        <w:rPr>
          <w:bCs/>
          <w:b/>
        </w:rPr>
        <w:t xml:space="preserve">cao2017?</w:t>
      </w:r>
      <w:r>
        <w:t xml:space="preserve">)</w:t>
      </w:r>
      <w:r>
        <w:t xml:space="preserve">) and the NDVI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Gernez, et al. 2023)</w:t>
      </w:r>
      <w:r>
        <w:t xml:space="preserve">.</w:t>
      </w:r>
    </w:p>
    <w:p>
      <w:pPr>
        <w:pStyle w:val="BodyText"/>
      </w:pPr>
      <w:bookmarkStart w:id="40"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0"/>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1"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1"/>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2"/>
    <w:bookmarkStart w:id="43" w:name="validation"/>
    <w:p>
      <w:pPr>
        <w:pStyle w:val="Heading3"/>
      </w:pPr>
      <w:r>
        <w:t xml:space="preserve">2.4.2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CNN model was applied to all the 9 flights at both 12 and 120 m of altitude. In situ information on georeferenced class type and percent cover collected during each flight has been used to assess the CNN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the global accuracy, the sensitivity, the specificity, and the Kappa coefficient, was generated for each of the study sites. Finally each validation matrix has been merge to create a unique matrix of the model. A total of 536,000 pixels has been used to globally validate the CNN model.</w:t>
      </w:r>
    </w:p>
    <w:bookmarkEnd w:id="43"/>
    <w:bookmarkEnd w:id="44"/>
    <w:bookmarkEnd w:id="45"/>
    <w:bookmarkStart w:id="85" w:name="results"/>
    <w:p>
      <w:pPr>
        <w:pStyle w:val="Heading1"/>
      </w:pPr>
      <w:r>
        <w:t xml:space="preserve">3. Results</w:t>
      </w:r>
    </w:p>
    <w:bookmarkStart w:id="66"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CNN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CNN model.</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0" w:name="cell-fig-GafLow"/>
    <w:tbl>
      <w:tblPr>
        <w:tblStyle w:val="Table"/>
        <w:tblW w:type="pct" w:w="5000"/>
        <w:tblLook w:firstRow="0" w:lastRow="0" w:firstColumn="0" w:lastColumn="0" w:noHBand="0" w:noVBand="0" w:val="0000"/>
        <w:jc w:val="start"/>
        <w:tblLayout w:type="fixed"/>
      </w:tblPr>
      <w:tblGrid>
        <w:gridCol w:w="7920"/>
      </w:tblGrid>
      <w:tr>
        <w:tc>
          <w:tcPr/>
          <w:bookmarkStart w:id="49" w:name="fig-GafLow"/>
          <w:p>
            <w:pPr>
              <w:pStyle w:val="Compact"/>
              <w:jc w:val="center"/>
            </w:pPr>
            <w:r>
              <w:drawing>
                <wp:inline>
                  <wp:extent cx="5334000" cy="2803128"/>
                  <wp:effectExtent b="0" l="0" r="0" t="0"/>
                  <wp:docPr descr="" title="" id="47" name="Picture"/>
                  <a:graphic>
                    <a:graphicData uri="http://schemas.openxmlformats.org/drawingml/2006/picture">
                      <pic:pic>
                        <pic:nvPicPr>
                          <pic:cNvPr descr="./Figures/Maps%20Pred/FigX-Gaf_Low_Pred.png" id="48" name="Picture"/>
                          <pic:cNvPicPr>
                            <a:picLocks noChangeArrowheads="1" noChangeAspect="1"/>
                          </pic:cNvPicPr>
                        </pic:nvPicPr>
                        <pic:blipFill>
                          <a:blip r:embed="rId4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0"/>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present in the flight, but it has been masked in the prediction map due to glinting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but some pixels of it are now classified as Magnoliopsida. The patches of Rhodophyceae are still well classified.</w:t>
      </w:r>
      <w:r>
        <w:t xml:space="preserve"> </w:t>
      </w:r>
      <w:r>
        <w:rPr>
          <w:iCs/>
          <w:i/>
        </w:rPr>
        <w:t xml:space="preserve">Spartina sp.</w:t>
      </w:r>
      <w:r>
        <w:t xml:space="preserve"> </w:t>
      </w:r>
      <w:r>
        <w:t xml:space="preserve">was present in the northern part of the flight, near the land, and has been classified either as Magnoliopsida or as Phaeophyceae.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55" w:name="cell-fig-GafHigh"/>
    <w:tbl>
      <w:tblPr>
        <w:tblStyle w:val="Table"/>
        <w:tblW w:type="pct" w:w="5000"/>
        <w:tblLook w:firstRow="0" w:lastRow="0" w:firstColumn="0" w:lastColumn="0" w:noHBand="0" w:noVBand="0" w:val="0000"/>
        <w:jc w:val="start"/>
        <w:tblLayout w:type="fixed"/>
      </w:tblPr>
      <w:tblGrid>
        <w:gridCol w:w="7920"/>
      </w:tblGrid>
      <w:tr>
        <w:tc>
          <w:tcPr/>
          <w:bookmarkStart w:id="54" w:name="fig-GafHigh"/>
          <w:p>
            <w:pPr>
              <w:pStyle w:val="Compact"/>
              <w:jc w:val="center"/>
            </w:pPr>
            <w:r>
              <w:drawing>
                <wp:inline>
                  <wp:extent cx="5334000" cy="3453796"/>
                  <wp:effectExtent b="0" l="0" r="0" t="0"/>
                  <wp:docPr descr="" title="" id="52" name="Picture"/>
                  <a:graphic>
                    <a:graphicData uri="http://schemas.openxmlformats.org/drawingml/2006/picture">
                      <pic:pic>
                        <pic:nvPicPr>
                          <pic:cNvPr descr="./Figures/Maps%20Pred/FigX-Gaf_High_Pred.png" id="53" name="Picture"/>
                          <pic:cNvPicPr>
                            <a:picLocks noChangeArrowheads="1" noChangeAspect="1"/>
                          </pic:cNvPicPr>
                        </pic:nvPicPr>
                        <pic:blipFill>
                          <a:blip r:embed="rId51"/>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55"/>
    <w:p>
      <w:pPr>
        <w:pStyle w:val="BodyText"/>
      </w:pPr>
      <w:r>
        <w:t xml:space="preserve">The High altitude flight made in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follows the same pattern, with a patchy Magnoliopsida meadow mixed on the eastern part of the flight with Rhodophyceae. As shown in the zoom (</w:t>
      </w:r>
      <w:hyperlink w:anchor="fig-Boat">
        <w:r>
          <w:rPr>
            <w:rStyle w:val="Hyperlink"/>
          </w:rPr>
          <w:t xml:space="preserve">Figure 6</w:t>
        </w:r>
      </w:hyperlink>
      <w:r>
        <w:t xml:space="preserve">), the edges of the meadow can be colonised by Chlorophyceae.</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0" w:name="cell-fig-Boat"/>
    <w:tbl>
      <w:tblPr>
        <w:tblStyle w:val="Table"/>
        <w:tblW w:type="pct" w:w="5000"/>
        <w:tblLook w:firstRow="0" w:lastRow="0" w:firstColumn="0" w:lastColumn="0" w:noHBand="0" w:noVBand="0" w:val="0000"/>
        <w:jc w:val="start"/>
        <w:tblLayout w:type="fixed"/>
      </w:tblPr>
      <w:tblGrid>
        <w:gridCol w:w="7920"/>
      </w:tblGrid>
      <w:tr>
        <w:tc>
          <w:tcPr/>
          <w:bookmarkStart w:id="59" w:name="fig-Boat"/>
          <w:p>
            <w:pPr>
              <w:pStyle w:val="Compact"/>
              <w:jc w:val="center"/>
            </w:pPr>
            <w:r>
              <w:drawing>
                <wp:inline>
                  <wp:extent cx="5334000" cy="5974080"/>
                  <wp:effectExtent b="0" l="0" r="0" t="0"/>
                  <wp:docPr descr="" title="" id="57" name="Picture"/>
                  <a:graphic>
                    <a:graphicData uri="http://schemas.openxmlformats.org/drawingml/2006/picture">
                      <pic:pic>
                        <pic:nvPicPr>
                          <pic:cNvPr descr="./Figures/Maps%20Pred/FigX-Boat_Pred.png" id="58" name="Picture"/>
                          <pic:cNvPicPr>
                            <a:picLocks noChangeArrowheads="1" noChangeAspect="1"/>
                          </pic:cNvPicPr>
                        </pic:nvPicPr>
                        <pic:blipFill>
                          <a:blip r:embed="rId56"/>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9"/>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0"/>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flight from west to east. Alongside this dike, brown algae attached to rocks and stranded green algae could be found. Despite the high mixture between Chlorophyceae and Magnoliopsida in this flight, these two classes are well discriminated by the classifier.</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65" w:name="cell-fig-Dike"/>
    <w:tbl>
      <w:tblPr>
        <w:tblStyle w:val="Table"/>
        <w:tblW w:type="pct" w:w="5000"/>
        <w:tblLook w:firstRow="0" w:lastRow="0" w:firstColumn="0" w:lastColumn="0" w:noHBand="0" w:noVBand="0" w:val="0000"/>
        <w:jc w:val="start"/>
        <w:tblLayout w:type="fixed"/>
      </w:tblPr>
      <w:tblGrid>
        <w:gridCol w:w="7920"/>
      </w:tblGrid>
      <w:tr>
        <w:tc>
          <w:tcPr/>
          <w:bookmarkStart w:id="64" w:name="fig-Dike"/>
          <w:p>
            <w:pPr>
              <w:pStyle w:val="Compact"/>
              <w:jc w:val="center"/>
            </w:pPr>
            <w:r>
              <w:drawing>
                <wp:inline>
                  <wp:extent cx="5334000" cy="4000499"/>
                  <wp:effectExtent b="0" l="0" r="0" t="0"/>
                  <wp:docPr descr="" title="" id="62" name="Picture"/>
                  <a:graphic>
                    <a:graphicData uri="http://schemas.openxmlformats.org/drawingml/2006/picture">
                      <pic:pic>
                        <pic:nvPicPr>
                          <pic:cNvPr descr="./Figures/Maps%20Pred/FigX-Dike_Pred.png" id="63" name="Picture"/>
                          <pic:cNvPicPr>
                            <a:picLocks noChangeArrowheads="1" noChangeAspect="1"/>
                          </pic:cNvPicPr>
                        </pic:nvPicPr>
                        <pic:blipFill>
                          <a:blip r:embed="rId61"/>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4"/>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65"/>
    <w:bookmarkEnd w:id="66"/>
    <w:bookmarkStart w:id="72" w:name="validation-1"/>
    <w:p>
      <w:pPr>
        <w:pStyle w:val="Heading2"/>
      </w:pPr>
      <w:r>
        <w:t xml:space="preserve">3.2 Validation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1" w:name="cell-fig-Validation"/>
    <w:tbl>
      <w:tblPr>
        <w:tblStyle w:val="Table"/>
        <w:tblW w:type="pct" w:w="5000"/>
        <w:tblLook w:firstRow="0" w:lastRow="0" w:firstColumn="0" w:lastColumn="0" w:noHBand="0" w:noVBand="0" w:val="0000"/>
        <w:jc w:val="start"/>
        <w:tblLayout w:type="fixed"/>
      </w:tblPr>
      <w:tblGrid>
        <w:gridCol w:w="7920"/>
      </w:tblGrid>
      <w:tr>
        <w:tc>
          <w:tcPr/>
          <w:bookmarkStart w:id="70" w:name="fig-Validation"/>
          <w:p>
            <w:pPr>
              <w:pStyle w:val="Compact"/>
              <w:jc w:val="center"/>
            </w:pPr>
            <w:r>
              <w:drawing>
                <wp:inline>
                  <wp:extent cx="5334000" cy="2867024"/>
                  <wp:effectExtent b="0" l="0" r="0" t="0"/>
                  <wp:docPr descr="" title="" id="68" name="Picture"/>
                  <a:graphic>
                    <a:graphicData uri="http://schemas.openxmlformats.org/drawingml/2006/picture">
                      <pic:pic>
                        <pic:nvPicPr>
                          <pic:cNvPr descr="./Figures/Validation/ConfusionMatrixGlobal.png" id="69" name="Picture"/>
                          <pic:cNvPicPr>
                            <a:picLocks noChangeArrowheads="1" noChangeAspect="1"/>
                          </pic:cNvPicPr>
                        </pic:nvPicPr>
                        <pic:blipFill>
                          <a:blip r:embed="rId67"/>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7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1"/>
    <w:p>
      <w:pPr>
        <w:pStyle w:val="BodyText"/>
      </w:pPr>
      <w:r>
        <w:t xml:space="preserve">A total amount of 536,000 pixels have been used to validate the Neural Network classifier. The site with the least amount of validation data is Kerdrean with a total of 5557 pixels whereas Marinha Lanzarote is the site with the most amount of validation data with 159713 pixels. The global accuracy of the model is 94.26% and a Kappa coefficient of 0.92 (</w:t>
      </w:r>
      <w:hyperlink w:anchor="fig-Validation">
        <w:r>
          <w:rPr>
            <w:rStyle w:val="Hyperlink"/>
          </w:rPr>
          <w:t xml:space="preserve">Figure 8</w:t>
        </w:r>
      </w:hyperlink>
      <w:r>
        <w:t xml:space="preserve">). The least performing site is Gafanha High with an accuracy of 75.45% whereas Mataducos is the site with most accurate prediction, with a global accuracy of 98.05%. Overall Phaeophyceae, Magnoliopsida, Sediment and Rhodophyceae are well classified with a balanced accuracy of 1, 0.96, 0.96 and 0.91 respectively. Bacillariophyceae is the least performing class with an accuracy of 0.72 mainly due to a confusion with Magnoliopsida and Sediment.</w:t>
      </w:r>
    </w:p>
    <w:bookmarkEnd w:id="72"/>
    <w:bookmarkStart w:id="78" w:name="variable-importance"/>
    <w:p>
      <w:pPr>
        <w:pStyle w:val="Heading2"/>
      </w:pPr>
      <w:r>
        <w:t xml:space="preserve">3.3 Variable importance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77" w:name="cell-fig-VIP"/>
    <w:tbl>
      <w:tblPr>
        <w:tblStyle w:val="Table"/>
        <w:tblW w:type="pct" w:w="5000"/>
        <w:tblLook w:firstRow="0" w:lastRow="0" w:firstColumn="0" w:lastColumn="0" w:noHBand="0" w:noVBand="0" w:val="0000"/>
        <w:jc w:val="start"/>
        <w:tblLayout w:type="fixed"/>
      </w:tblPr>
      <w:tblGrid>
        <w:gridCol w:w="7920"/>
      </w:tblGrid>
      <w:tr>
        <w:tc>
          <w:tcPr/>
          <w:bookmarkStart w:id="76" w:name="fig-VIP"/>
          <w:p>
            <w:pPr>
              <w:pStyle w:val="Compact"/>
              <w:jc w:val="center"/>
            </w:pPr>
            <w:r>
              <w:drawing>
                <wp:inline>
                  <wp:extent cx="5334000" cy="3136503"/>
                  <wp:effectExtent b="0" l="0" r="0" t="0"/>
                  <wp:docPr descr="" title="" id="74" name="Picture"/>
                  <a:graphic>
                    <a:graphicData uri="http://schemas.openxmlformats.org/drawingml/2006/picture">
                      <pic:pic>
                        <pic:nvPicPr>
                          <pic:cNvPr descr="Figures/VIP/Fig_VIP.png" id="75" name="Picture"/>
                          <pic:cNvPicPr>
                            <a:picLocks noChangeArrowheads="1" noChangeAspect="1"/>
                          </pic:cNvPicPr>
                        </pic:nvPicPr>
                        <pic:blipFill>
                          <a:blip r:embed="rId73"/>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6"/>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77"/>
    <w:p>
      <w:pPr>
        <w:pStyle w:val="BodyText"/>
      </w:pPr>
      <w:r>
        <w:t xml:space="preserve">The computation of the importance variable of each class indicate which wavelength is mandatory to accurately predict the class (</w:t>
      </w:r>
      <w:hyperlink w:anchor="fig-VIP">
        <w:r>
          <w:rPr>
            <w:rStyle w:val="Hyperlink"/>
          </w:rPr>
          <w:t xml:space="preserve">Figure 9</w:t>
        </w:r>
      </w:hyperlink>
      <w:r>
        <w:t xml:space="preserve">). Bands at 444 nm, 717 nm and 842 nm of the Micasense camera are important for none of the vegetation classes. The band at 531 nm is the only important predictor for the classifier to accuratly predict chlorophyceae. In fact, at this wavelength, the Chlorophyceae spectra has the maximum reflectance value of all the classes. 531 nm and 740 nm are the most important predictors to predict Phaeophyceae, corresponding to the minimum reflectance value among all the classes. Bands at 475 and 560 nm are the most important predictors for Bacillariophyceae and Rhodophyceae, respectively. 4 predictors, ranging from the Green (560 nm) to the RedEdge (705 nm) are important to predict accurately magnoliopsida.</w:t>
      </w:r>
    </w:p>
    <w:bookmarkEnd w:id="78"/>
    <w:bookmarkStart w:id="84" w:name="X6a711a8597cc737f9b42c32ad76cef126d40d45"/>
    <w:p>
      <w:pPr>
        <w:pStyle w:val="Heading2"/>
      </w:pPr>
      <w:r>
        <w:t xml:space="preserve">3.4 Effect of the flight height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83" w:name="cell-fig-upscaling"/>
    <w:tbl>
      <w:tblPr>
        <w:tblStyle w:val="Table"/>
        <w:tblW w:type="pct" w:w="5000"/>
        <w:tblLook w:firstRow="0" w:lastRow="0" w:firstColumn="0" w:lastColumn="0" w:noHBand="0" w:noVBand="0" w:val="0000"/>
        <w:jc w:val="start"/>
        <w:tblLayout w:type="fixed"/>
      </w:tblPr>
      <w:tblGrid>
        <w:gridCol w:w="7920"/>
      </w:tblGrid>
      <w:tr>
        <w:tc>
          <w:tcPr/>
          <w:bookmarkStart w:id="82" w:name="fig-upscaling"/>
          <w:p>
            <w:pPr>
              <w:pStyle w:val="Compact"/>
              <w:jc w:val="center"/>
            </w:pPr>
            <w:r>
              <w:drawing>
                <wp:inline>
                  <wp:extent cx="4800600" cy="6443062"/>
                  <wp:effectExtent b="0" l="0" r="0" t="0"/>
                  <wp:docPr descr="" title="" id="80" name="Picture"/>
                  <a:graphic>
                    <a:graphicData uri="http://schemas.openxmlformats.org/drawingml/2006/picture">
                      <pic:pic>
                        <pic:nvPicPr>
                          <pic:cNvPr descr="Figures/Upscaling/density_vs_Proportion.png" id="81" name="Picture"/>
                          <pic:cNvPicPr>
                            <a:picLocks noChangeArrowheads="1" noChangeAspect="1"/>
                          </pic:cNvPicPr>
                        </pic:nvPicPr>
                        <pic:blipFill>
                          <a:blip r:embed="rId79"/>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2"/>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83"/>
    <w:p>
      <w:pPr>
        <w:pStyle w:val="BodyText"/>
      </w:pPr>
      <w:hyperlink w:anchor="fig-upscaling">
        <w:r>
          <w:rPr>
            <w:rStyle w:val="Hyperlink"/>
          </w:rPr>
          <w:t xml:space="preserve">Figure 10</w:t>
        </w:r>
      </w:hyperlink>
      <w:r>
        <w:t xml:space="preserve"> </w:t>
      </w:r>
      <w:r>
        <w:t xml:space="preserve">is showing the percent cover of a class required to classify correctly the high altitude flight.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4"/>
    <w:bookmarkEnd w:id="85"/>
    <w:bookmarkStart w:id="99" w:name="discussion"/>
    <w:p>
      <w:pPr>
        <w:pStyle w:val="Heading1"/>
      </w:pPr>
      <w:r>
        <w:t xml:space="preserve">4. Discussion</w:t>
      </w:r>
    </w:p>
    <w:bookmarkStart w:id="86" w:name="seagrass-discrimination"/>
    <w:p>
      <w:pPr>
        <w:pStyle w:val="Heading2"/>
      </w:pPr>
      <w:r>
        <w:t xml:space="preserve">4.1 Seagrass Discrimination</w:t>
      </w:r>
    </w:p>
    <w:bookmarkEnd w:id="86"/>
    <w:bookmarkStart w:id="97" w:name="Xeacd02c4be9bff42bc9896d45b2cbd8d43fb932"/>
    <w:p>
      <w:pPr>
        <w:pStyle w:val="Heading2"/>
      </w:pPr>
      <w:r>
        <w:t xml:space="preserve">4.2 Spatial and Spectral Resolution impact on the prediction</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1" w:name="cell-fig-Pigm"/>
    <w:tbl>
      <w:tblPr>
        <w:tblStyle w:val="Table"/>
        <w:tblW w:type="pct" w:w="5000"/>
        <w:tblLook w:firstRow="0" w:lastRow="0" w:firstColumn="0" w:lastColumn="0" w:noHBand="0" w:noVBand="0" w:val="0000"/>
        <w:jc w:val="start"/>
        <w:tblLayout w:type="fixed"/>
      </w:tblPr>
      <w:tblGrid>
        <w:gridCol w:w="7920"/>
      </w:tblGrid>
      <w:tr>
        <w:tc>
          <w:tcPr/>
          <w:bookmarkStart w:id="90" w:name="fig-Pigm"/>
          <w:p>
            <w:pPr>
              <w:pStyle w:val="Compact"/>
              <w:jc w:val="center"/>
            </w:pPr>
            <w:r>
              <w:drawing>
                <wp:inline>
                  <wp:extent cx="5334000" cy="2581936"/>
                  <wp:effectExtent b="0" l="0" r="0" t="0"/>
                  <wp:docPr descr="" title="" id="88" name="Picture"/>
                  <a:graphic>
                    <a:graphicData uri="http://schemas.openxmlformats.org/drawingml/2006/picture">
                      <pic:pic>
                        <pic:nvPicPr>
                          <pic:cNvPr descr="./Figures/Disc_Pigment_Table.png" id="89" name="Picture"/>
                          <pic:cNvPicPr>
                            <a:picLocks noChangeArrowheads="1" noChangeAspect="1"/>
                          </pic:cNvPicPr>
                        </pic:nvPicPr>
                        <pic:blipFill>
                          <a:blip r:embed="rId87"/>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90"/>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1"/>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6" w:name="cell-fig-CompareRef"/>
    <w:tbl>
      <w:tblPr>
        <w:tblStyle w:val="Table"/>
        <w:tblW w:type="pct" w:w="5000"/>
        <w:tblLook w:firstRow="0" w:lastRow="0" w:firstColumn="0" w:lastColumn="0" w:noHBand="0" w:noVBand="0" w:val="0000"/>
        <w:jc w:val="start"/>
        <w:tblLayout w:type="fixed"/>
      </w:tblPr>
      <w:tblGrid>
        <w:gridCol w:w="7920"/>
      </w:tblGrid>
      <w:tr>
        <w:tc>
          <w:tcPr/>
          <w:bookmarkStart w:id="95" w:name="fig-CompareRef"/>
          <w:p>
            <w:pPr>
              <w:pStyle w:val="Compact"/>
              <w:jc w:val="center"/>
            </w:pPr>
            <w:r>
              <w:drawing>
                <wp:inline>
                  <wp:extent cx="2667000" cy="2271470"/>
                  <wp:effectExtent b="0" l="0" r="0" t="0"/>
                  <wp:docPr descr="" title="" id="93" name="Picture"/>
                  <a:graphic>
                    <a:graphicData uri="http://schemas.openxmlformats.org/drawingml/2006/picture">
                      <pic:pic>
                        <pic:nvPicPr>
                          <pic:cNvPr descr="./Figures/Compare_reflectance.png" id="94" name="Picture"/>
                          <pic:cNvPicPr>
                            <a:picLocks noChangeArrowheads="1" noChangeAspect="1"/>
                          </pic:cNvPicPr>
                        </pic:nvPicPr>
                        <pic:blipFill>
                          <a:blip r:embed="rId92"/>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Comparison of reflectance retrieved from both low-altitude and high-altitude flights over a common area. The red dashed line represents a 1 to 1 relationship.</w:t>
            </w:r>
          </w:p>
          <w:bookmarkEnd w:id="95"/>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96"/>
    <w:bookmarkEnd w:id="97"/>
    <w:bookmarkStart w:id="98" w:name="big-picture"/>
    <w:p>
      <w:pPr>
        <w:pStyle w:val="Heading2"/>
      </w:pPr>
      <w:r>
        <w:t xml:space="preserve">4.3 Big picture</w:t>
      </w:r>
    </w:p>
    <w:bookmarkEnd w:id="98"/>
    <w:bookmarkEnd w:id="99"/>
    <w:bookmarkStart w:id="100" w:name="conclusion"/>
    <w:p>
      <w:pPr>
        <w:pStyle w:val="Heading1"/>
      </w:pPr>
      <w:r>
        <w:t xml:space="preserve">5. Conclusion</w:t>
      </w:r>
    </w:p>
    <w:bookmarkEnd w:id="100"/>
    <w:bookmarkStart w:id="147" w:name="bibliography"/>
    <w:p>
      <w:pPr>
        <w:pStyle w:val="Heading1"/>
      </w:pPr>
      <w:r>
        <w:t xml:space="preserve">6. Bibliography</w:t>
      </w:r>
    </w:p>
    <w:bookmarkStart w:id="146" w:name="refs"/>
    <w:bookmarkStart w:id="101" w:name="ref-adade2021"/>
    <w:p>
      <w:pPr>
        <w:pStyle w:val="Bibliography"/>
      </w:pPr>
      <w:r>
        <w:t xml:space="preserve">Adade, Richard, Abiodun Musa Aibinu, Bernard Ekumah, and Jerry Asaana. 2021.</w:t>
      </w:r>
      <w:r>
        <w:t xml:space="preserve"> </w:t>
      </w:r>
      <w:r>
        <w:t xml:space="preserve">“Unmanned Aerial Vehicle (UAV) Applications in Coastal Zone Management—a Review.”</w:t>
      </w:r>
      <w:r>
        <w:t xml:space="preserve"> </w:t>
      </w:r>
      <w:r>
        <w:rPr>
          <w:iCs/>
          <w:i/>
        </w:rPr>
        <w:t xml:space="preserve">Environmental Monitoring and Assessment</w:t>
      </w:r>
      <w:r>
        <w:t xml:space="preserve"> </w:t>
      </w:r>
      <w:r>
        <w:t xml:space="preserve">193: 1–12.</w:t>
      </w:r>
    </w:p>
    <w:bookmarkEnd w:id="101"/>
    <w:bookmarkStart w:id="102" w:name="ref-angnuureng2022"/>
    <w:p>
      <w:pPr>
        <w:pStyle w:val="Bibliography"/>
      </w:pPr>
      <w:r>
        <w:t xml:space="preserve">Angnuureng, Donatus B, KE Brempong, PN Jayson-Quashigah, OA Dada, SGI Akuoko, J Frimpomaa, PA Mattah, and Rafaël Almar. 2022.</w:t>
      </w:r>
      <w:r>
        <w:t xml:space="preserve"> </w:t>
      </w:r>
      <w:r>
        <w:t xml:space="preserve">“Satellite, Drone and Video Camera Multi-Platform Monitoring of Coastal Erosion at an Engineered Pocket Beach: A Showcase for Coastal Management at Elmina Bay, Ghana (West Africa).”</w:t>
      </w:r>
      <w:r>
        <w:t xml:space="preserve"> </w:t>
      </w:r>
      <w:r>
        <w:rPr>
          <w:iCs/>
          <w:i/>
        </w:rPr>
        <w:t xml:space="preserve">Regional Studies in Marine Science</w:t>
      </w:r>
      <w:r>
        <w:t xml:space="preserve"> </w:t>
      </w:r>
      <w:r>
        <w:t xml:space="preserve">53: 102437.</w:t>
      </w:r>
    </w:p>
    <w:bookmarkEnd w:id="102"/>
    <w:bookmarkStart w:id="103" w:name="ref-bannari2022"/>
    <w:p>
      <w:pPr>
        <w:pStyle w:val="Bibliography"/>
      </w:pPr>
      <w:r>
        <w:t xml:space="preserve">Bannari, Abderrazak, Thamer Salim Ali, and Asma Abahussain. 2022.</w:t>
      </w:r>
      <w:r>
        <w:t xml:space="preserve"> </w:t>
      </w:r>
      <w:r>
        <w:t xml:space="preserve">“The Capabilities of Sentinel-MSI (2A/2B) and Landsat-OLI (8/9) in Seagrass and Algae Species Differentiation Using Spectral Reflectance.”</w:t>
      </w:r>
      <w:r>
        <w:t xml:space="preserve"> </w:t>
      </w:r>
      <w:r>
        <w:rPr>
          <w:iCs/>
          <w:i/>
        </w:rPr>
        <w:t xml:space="preserve">Ocean Science</w:t>
      </w:r>
      <w:r>
        <w:t xml:space="preserve"> </w:t>
      </w:r>
      <w:r>
        <w:t xml:space="preserve">18 (2): 361–88.</w:t>
      </w:r>
    </w:p>
    <w:bookmarkEnd w:id="103"/>
    <w:bookmarkStart w:id="105" w:name="ref-Brunier2022Topographic"/>
    <w:p>
      <w:pPr>
        <w:pStyle w:val="Bibliography"/>
      </w:pPr>
      <w:r>
        <w:t xml:space="preserve">Brunier, Guillaume, Simon Oiry, Yves Gruet, Stanislas F. Dubois, and Laurent Barillé. 2022.</w:t>
      </w:r>
      <w:r>
        <w:t xml:space="preserve"> </w:t>
      </w:r>
      <w:r>
        <w:t xml:space="preserve">“Topographic Analysis of Intertidal Polychaete Reefs (Sabellaria Alveolata) at a Very High Spatial Resolution.”</w:t>
      </w:r>
      <w:r>
        <w:t xml:space="preserve"> </w:t>
      </w:r>
      <w:r>
        <w:rPr>
          <w:iCs/>
          <w:i/>
        </w:rPr>
        <w:t xml:space="preserve">Remote Sensing 2022, Vol. 14, Page 307</w:t>
      </w:r>
      <w:r>
        <w:t xml:space="preserve"> </w:t>
      </w:r>
      <w:r>
        <w:t xml:space="preserve">14 (January): 307.</w:t>
      </w:r>
      <w:r>
        <w:t xml:space="preserve"> </w:t>
      </w:r>
      <w:hyperlink r:id="rId104">
        <w:r>
          <w:rPr>
            <w:rStyle w:val="Hyperlink"/>
          </w:rPr>
          <w:t xml:space="preserve">https://doi.org/10.3390/RS14020307</w:t>
        </w:r>
      </w:hyperlink>
      <w:r>
        <w:t xml:space="preserve">.</w:t>
      </w:r>
    </w:p>
    <w:bookmarkEnd w:id="105"/>
    <w:bookmarkStart w:id="106" w:name="ref-casella2020"/>
    <w:p>
      <w:pPr>
        <w:pStyle w:val="Bibliography"/>
      </w:pPr>
      <w:r>
        <w:t xml:space="preserve">Casella, Elisa, Jan Drechsel, Christian Winter, Markus Benninghoff, and Alessio Rovere. 2020.</w:t>
      </w:r>
      <w:r>
        <w:t xml:space="preserve"> </w:t>
      </w:r>
      <w:r>
        <w:t xml:space="preserve">“Accuracy of Sand Beach Topography Surveying by Drones and Photogrammetry.”</w:t>
      </w:r>
      <w:r>
        <w:t xml:space="preserve"> </w:t>
      </w:r>
      <w:r>
        <w:rPr>
          <w:iCs/>
          <w:i/>
        </w:rPr>
        <w:t xml:space="preserve">Geo-Marine Letters</w:t>
      </w:r>
      <w:r>
        <w:t xml:space="preserve"> </w:t>
      </w:r>
      <w:r>
        <w:t xml:space="preserve">40: 255–68.</w:t>
      </w:r>
    </w:p>
    <w:bookmarkEnd w:id="106"/>
    <w:bookmarkStart w:id="107" w:name="ref-coffer2023"/>
    <w:p>
      <w:pPr>
        <w:pStyle w:val="Bibliography"/>
      </w:pPr>
      <w:r>
        <w:t xml:space="preserve">Coffer, Megan M, David D Graybill, Peter J Whitman, Blake A Schaeffer, Wilson B Salls, Richard C Zimmerman, Victoria Hill, et al. 2023.</w:t>
      </w:r>
      <w:r>
        <w:t xml:space="preserve"> </w:t>
      </w:r>
      <w:r>
        <w:t xml:space="preserve">“Providing a Framework for Seagrass Mapping in United States Coastal Ecosystems Using High Spatial Resolution Satellite Imagery.”</w:t>
      </w:r>
      <w:r>
        <w:t xml:space="preserve"> </w:t>
      </w:r>
      <w:r>
        <w:rPr>
          <w:iCs/>
          <w:i/>
        </w:rPr>
        <w:t xml:space="preserve">Journal of Environmental Management</w:t>
      </w:r>
      <w:r>
        <w:t xml:space="preserve"> </w:t>
      </w:r>
      <w:r>
        <w:t xml:space="preserve">337: 117669.</w:t>
      </w:r>
    </w:p>
    <w:bookmarkEnd w:id="107"/>
    <w:bookmarkStart w:id="108" w:name="ref-collin2019improving"/>
    <w:p>
      <w:pPr>
        <w:pStyle w:val="Bibliography"/>
      </w:pPr>
      <w:r>
        <w:t xml:space="preserve">Collin, Antoine, Stanislas Dubois, Dorothée James, and Thomas Houet. 2019.</w:t>
      </w:r>
      <w:r>
        <w:t xml:space="preserve"> </w:t>
      </w:r>
      <w:r>
        <w:t xml:space="preserve">“Improving Intertidal Reef Mapping Using UAV Surface, Red Edge, and Near-Infrared Data.”</w:t>
      </w:r>
      <w:r>
        <w:t xml:space="preserve"> </w:t>
      </w:r>
      <w:r>
        <w:rPr>
          <w:iCs/>
          <w:i/>
        </w:rPr>
        <w:t xml:space="preserve">Drones</w:t>
      </w:r>
      <w:r>
        <w:t xml:space="preserve"> </w:t>
      </w:r>
      <w:r>
        <w:t xml:space="preserve">3 (3): 67.</w:t>
      </w:r>
    </w:p>
    <w:bookmarkEnd w:id="108"/>
    <w:bookmarkStart w:id="110" w:name="ref-Davies2023"/>
    <w:p>
      <w:pPr>
        <w:pStyle w:val="Bibliography"/>
      </w:pPr>
      <w:r>
        <w:t xml:space="preserve">Davies, B F R, Pierre Gernez, Andréa Geraud, Simon Oiry, Philippe Rosa, Maria Laura Zoffoli, and Laurent Barillé. 2023.</w:t>
      </w:r>
      <w:r>
        <w:t xml:space="preserve"> </w:t>
      </w:r>
      <w:r>
        <w:t xml:space="preserve">“Multi- and Hyperspectral Classification of Soft-Bottom Intertidal Vegetation Using a Spectral Library for Coastal Biodiversity Remote Sensing.”</w:t>
      </w:r>
      <w:r>
        <w:t xml:space="preserve"> </w:t>
      </w:r>
      <w:r>
        <w:rPr>
          <w:iCs/>
          <w:i/>
        </w:rPr>
        <w:t xml:space="preserve">Remote Sensing of Environment</w:t>
      </w:r>
      <w:r>
        <w:t xml:space="preserve"> </w:t>
      </w:r>
      <w:r>
        <w:t xml:space="preserve">290: 113554.</w:t>
      </w:r>
      <w:r>
        <w:t xml:space="preserve"> </w:t>
      </w:r>
      <w:hyperlink r:id="rId109">
        <w:r>
          <w:rPr>
            <w:rStyle w:val="Hyperlink"/>
          </w:rPr>
          <w:t xml:space="preserve">https://doi.org/10.1016/j.rse.2023.113554</w:t>
        </w:r>
      </w:hyperlink>
      <w:r>
        <w:t xml:space="preserve">.</w:t>
      </w:r>
    </w:p>
    <w:bookmarkEnd w:id="110"/>
    <w:bookmarkStart w:id="112" w:name="ref-BedeGbif"/>
    <w:p>
      <w:pPr>
        <w:pStyle w:val="Bibliography"/>
      </w:pPr>
      <w:r>
        <w:t xml:space="preserve">Davies, B F R, A I. Sousa, R Figueira, S Oiry, P Gernez, and L Barillé. 2023.</w:t>
      </w:r>
      <w:r>
        <w:t xml:space="preserve"> </w:t>
      </w:r>
      <w:r>
        <w:t xml:space="preserve">“Benthic Intertidal Vegetation from the Tagus Estuary and Aveiro Lagoon.”</w:t>
      </w:r>
      <w:r>
        <w:t xml:space="preserve"> </w:t>
      </w:r>
      <w:r>
        <w:t xml:space="preserve">Université de Nantes via GBIF.org.</w:t>
      </w:r>
      <w:r>
        <w:t xml:space="preserve"> </w:t>
      </w:r>
      <w:hyperlink r:id="rId111">
        <w:r>
          <w:rPr>
            <w:rStyle w:val="Hyperlink"/>
          </w:rPr>
          <w:t xml:space="preserve">https://doi.org/10.15468/n4ak6x</w:t>
        </w:r>
      </w:hyperlink>
      <w:r>
        <w:t xml:space="preserve">.</w:t>
      </w:r>
    </w:p>
    <w:bookmarkEnd w:id="112"/>
    <w:bookmarkStart w:id="114" w:name="ref-Douay2022"/>
    <w:p>
      <w:pPr>
        <w:pStyle w:val="Bibliography"/>
      </w:pPr>
      <w:r>
        <w:t xml:space="preserve">Douay, Florian, Charles Verpoorter, Gwendoline Duong, Nicolas Spilmont, and François Gevaert. 2022.</w:t>
      </w:r>
      <w:r>
        <w:t xml:space="preserve"> </w:t>
      </w:r>
      <w:r>
        <w:t xml:space="preserve">“New Hyperspectral Procedure to Discriminate Intertidal Macroalgae.”</w:t>
      </w:r>
      <w:r>
        <w:t xml:space="preserve"> </w:t>
      </w:r>
      <w:r>
        <w:rPr>
          <w:iCs/>
          <w:i/>
        </w:rPr>
        <w:t xml:space="preserve">Remote Sensing</w:t>
      </w:r>
      <w:r>
        <w:t xml:space="preserve"> </w:t>
      </w:r>
      <w:r>
        <w:t xml:space="preserve">14 (2).</w:t>
      </w:r>
      <w:r>
        <w:t xml:space="preserve"> </w:t>
      </w:r>
      <w:hyperlink r:id="rId113">
        <w:r>
          <w:rPr>
            <w:rStyle w:val="Hyperlink"/>
          </w:rPr>
          <w:t xml:space="preserve">https://doi.org/10.3390/rs14020346</w:t>
        </w:r>
      </w:hyperlink>
      <w:r>
        <w:t xml:space="preserve">.</w:t>
      </w:r>
    </w:p>
    <w:bookmarkEnd w:id="114"/>
    <w:bookmarkStart w:id="115" w:name="ref-duffy2019"/>
    <w:p>
      <w:pPr>
        <w:pStyle w:val="Bibliography"/>
      </w:pPr>
      <w:r>
        <w:t xml:space="preserve">Duffy, J Emmett, Lisandro Benedetti-Cecchi, Joaquin Trinanes, Frank E Muller-Karger, Rohani Ambo-Rappe, Christoffer Boström, Alejandro H Buschmann, et al. 2019.</w:t>
      </w:r>
      <w:r>
        <w:t xml:space="preserve"> </w:t>
      </w:r>
      <w:r>
        <w:t xml:space="preserve">“Toward a Coordinated Global Observing System for Seagrasses and Marine Macroalgae.”</w:t>
      </w:r>
      <w:r>
        <w:t xml:space="preserve"> </w:t>
      </w:r>
      <w:r>
        <w:rPr>
          <w:iCs/>
          <w:i/>
        </w:rPr>
        <w:t xml:space="preserve">Frontiers in Marine Science</w:t>
      </w:r>
      <w:r>
        <w:t xml:space="preserve"> </w:t>
      </w:r>
      <w:r>
        <w:t xml:space="preserve">6: 317.</w:t>
      </w:r>
    </w:p>
    <w:bookmarkEnd w:id="115"/>
    <w:bookmarkStart w:id="116" w:name="ref-fairley2022drone"/>
    <w:p>
      <w:pPr>
        <w:pStyle w:val="Bibliography"/>
      </w:pPr>
      <w:r>
        <w:t xml:space="preserve">Fairley, Iain, Benjamin J Williamson, Jason McIlvenny, Nicholas King, Ian Masters, Matthew Lewis, Simon Neill, et al. 2022.</w:t>
      </w:r>
      <w:r>
        <w:t xml:space="preserve"> </w:t>
      </w:r>
      <w:r>
        <w:t xml:space="preserve">“Drone-Based Large-Scale Particle Image Velocimetry Applied to Tidal Stream Energy Resource Assessment.”</w:t>
      </w:r>
      <w:r>
        <w:t xml:space="preserve"> </w:t>
      </w:r>
      <w:r>
        <w:rPr>
          <w:iCs/>
          <w:i/>
        </w:rPr>
        <w:t xml:space="preserve">Renewable Energy</w:t>
      </w:r>
      <w:r>
        <w:t xml:space="preserve"> </w:t>
      </w:r>
      <w:r>
        <w:t xml:space="preserve">196: 839–55.</w:t>
      </w:r>
    </w:p>
    <w:bookmarkEnd w:id="116"/>
    <w:bookmarkStart w:id="117" w:name="ref-gardner2018"/>
    <w:p>
      <w:pPr>
        <w:pStyle w:val="Bibliography"/>
      </w:pPr>
      <w:r>
        <w:t xml:space="preserve">Gardner, Royal C, and C Finlayson. 2018.</w:t>
      </w:r>
      <w:r>
        <w:t xml:space="preserve"> </w:t>
      </w:r>
      <w:r>
        <w:rPr>
          <w:iCs/>
          <w:i/>
        </w:rPr>
        <w:t xml:space="preserve">Global Wetland Outlook: State of the World’s Wetlands and Their Services to People</w:t>
      </w:r>
      <w:r>
        <w:t xml:space="preserve">.</w:t>
      </w:r>
    </w:p>
    <w:bookmarkEnd w:id="117"/>
    <w:bookmarkStart w:id="118" w:name="ref-jankowska2019"/>
    <w:p>
      <w:pPr>
        <w:pStyle w:val="Bibliography"/>
      </w:pPr>
      <w:r>
        <w:t xml:space="preserve">Jankowska, Emilia, Loı̈c N Michel, Gilles Lepoint, and Maria Włodarska-Kowalczuk. 2019.</w:t>
      </w:r>
      <w:r>
        <w:t xml:space="preserve"> </w:t>
      </w:r>
      <w:r>
        <w:t xml:space="preserve">“Stabilizing Effects of Seagrass Meadows on Coastal Water Benthic Food Webs.”</w:t>
      </w:r>
      <w:r>
        <w:t xml:space="preserve"> </w:t>
      </w:r>
      <w:r>
        <w:rPr>
          <w:iCs/>
          <w:i/>
        </w:rPr>
        <w:t xml:space="preserve">Journal of Experimental Marine Biology and Ecology</w:t>
      </w:r>
      <w:r>
        <w:t xml:space="preserve"> </w:t>
      </w:r>
      <w:r>
        <w:t xml:space="preserve">510: 54–63.</w:t>
      </w:r>
    </w:p>
    <w:bookmarkEnd w:id="118"/>
    <w:bookmarkStart w:id="119" w:name="ref-joyce2023"/>
    <w:p>
      <w:pPr>
        <w:pStyle w:val="Bibliography"/>
      </w:pPr>
      <w:r>
        <w:t xml:space="preserve">Joyce, Karen E, Kate C Fickas, and Michelle Kalamandeen. 2023.</w:t>
      </w:r>
      <w:r>
        <w:t xml:space="preserve"> </w:t>
      </w:r>
      <w:r>
        <w:t xml:space="preserve">“The Unique Value Proposition for Using Drones to Map Coastal Ecosystems.”</w:t>
      </w:r>
      <w:r>
        <w:t xml:space="preserve"> </w:t>
      </w:r>
      <w:r>
        <w:rPr>
          <w:iCs/>
          <w:i/>
        </w:rPr>
        <w:t xml:space="preserve">Cambridge Prisms: Coastal Futures</w:t>
      </w:r>
      <w:r>
        <w:t xml:space="preserve"> </w:t>
      </w:r>
      <w:r>
        <w:t xml:space="preserve">1: e6.</w:t>
      </w:r>
    </w:p>
    <w:bookmarkEnd w:id="119"/>
    <w:bookmarkStart w:id="120" w:name="ref-lin2018"/>
    <w:p>
      <w:pPr>
        <w:pStyle w:val="Bibliography"/>
      </w:pPr>
      <w:r>
        <w:t xml:space="preserve">Lin, Haiying, Tao Sun, Yi Zhou, Ruiting Gu, Xiaomei Zhang, and Wei Yang. 2018.</w:t>
      </w:r>
      <w:r>
        <w:t xml:space="preserve"> </w:t>
      </w:r>
      <w:r>
        <w:t xml:space="preserve">“Which Genes in a Typical Intertidal Seagrass (Zostera Japonica) Indicate Copper-, Lead-, and Cadmium Pollution?”</w:t>
      </w:r>
      <w:r>
        <w:t xml:space="preserve"> </w:t>
      </w:r>
      <w:r>
        <w:rPr>
          <w:iCs/>
          <w:i/>
        </w:rPr>
        <w:t xml:space="preserve">Frontiers in Plant Science</w:t>
      </w:r>
      <w:r>
        <w:t xml:space="preserve"> </w:t>
      </w:r>
      <w:r>
        <w:t xml:space="preserve">9: 1545.</w:t>
      </w:r>
    </w:p>
    <w:bookmarkEnd w:id="120"/>
    <w:bookmarkStart w:id="121" w:name="ref-deSantos2019"/>
    <w:p>
      <w:pPr>
        <w:pStyle w:val="Bibliography"/>
      </w:pPr>
      <w:r>
        <w:t xml:space="preserve">Los Santos, Carmen B de, Dorte Krause-Jensen, Teresa Alcoverro, Núria Marbà, Carlos M Duarte, Marieke M Van Katwijk, Marta Pérez, et al. 2019.</w:t>
      </w:r>
      <w:r>
        <w:t xml:space="preserve"> </w:t>
      </w:r>
      <w:r>
        <w:t xml:space="preserve">“Recent Trend Reversal for Declining European Seagrass Meadows.”</w:t>
      </w:r>
      <w:r>
        <w:t xml:space="preserve"> </w:t>
      </w:r>
      <w:r>
        <w:rPr>
          <w:iCs/>
          <w:i/>
        </w:rPr>
        <w:t xml:space="preserve">Nature Communications</w:t>
      </w:r>
      <w:r>
        <w:t xml:space="preserve"> </w:t>
      </w:r>
      <w:r>
        <w:t xml:space="preserve">10 (1): 3356.</w:t>
      </w:r>
    </w:p>
    <w:bookmarkEnd w:id="121"/>
    <w:bookmarkStart w:id="123" w:name="ref-Miloslavich2018"/>
    <w:p>
      <w:pPr>
        <w:pStyle w:val="Bibliography"/>
      </w:pPr>
      <w:r>
        <w:t xml:space="preserve">Miloslavich, Patricia, Nicholas J. Bax, Samantha E. Simmons, Eduardo Klein, Ward Appeltans, Octavio Aburto-Oropeza, Melissa Andersen Garcia, et al. 2018.</w:t>
      </w:r>
      <w:r>
        <w:t xml:space="preserve"> </w:t>
      </w:r>
      <w:r>
        <w:t xml:space="preserve">“Essential Ocean Variables for Global Sustained Observations of Biodiversity and Ecosystem Changes.”</w:t>
      </w:r>
      <w:r>
        <w:t xml:space="preserve"> </w:t>
      </w:r>
      <w:r>
        <w:rPr>
          <w:iCs/>
          <w:i/>
        </w:rPr>
        <w:t xml:space="preserve">Global Change Biology</w:t>
      </w:r>
      <w:r>
        <w:t xml:space="preserve"> </w:t>
      </w:r>
      <w:r>
        <w:t xml:space="preserve">24 (June): 2416–33.</w:t>
      </w:r>
      <w:r>
        <w:t xml:space="preserve"> </w:t>
      </w:r>
      <w:hyperlink r:id="rId122">
        <w:r>
          <w:rPr>
            <w:rStyle w:val="Hyperlink"/>
          </w:rPr>
          <w:t xml:space="preserve">https://doi.org/10.1111/GCB.14108</w:t>
        </w:r>
      </w:hyperlink>
      <w:r>
        <w:t xml:space="preserve">.</w:t>
      </w:r>
    </w:p>
    <w:bookmarkEnd w:id="123"/>
    <w:bookmarkStart w:id="124" w:name="ref-nguyen2021"/>
    <w:p>
      <w:pPr>
        <w:pStyle w:val="Bibliography"/>
      </w:pPr>
      <w:r>
        <w:t xml:space="preserve">Nguyen, Hung Manh, Peter J Ralph, Lázaro Marı́n-Guirao, Mathieu Pernice, and Gabriele Procaccini. 2021.</w:t>
      </w:r>
      <w:r>
        <w:t xml:space="preserve"> </w:t>
      </w:r>
      <w:r>
        <w:t xml:space="preserve">“Seagrasses in an Era of Ocean Warming: A Review.”</w:t>
      </w:r>
      <w:r>
        <w:t xml:space="preserve"> </w:t>
      </w:r>
      <w:r>
        <w:rPr>
          <w:iCs/>
          <w:i/>
        </w:rPr>
        <w:t xml:space="preserve">Biological Reviews</w:t>
      </w:r>
      <w:r>
        <w:t xml:space="preserve"> </w:t>
      </w:r>
      <w:r>
        <w:t xml:space="preserve">96 (5): 2009–30.</w:t>
      </w:r>
    </w:p>
    <w:bookmarkEnd w:id="124"/>
    <w:bookmarkStart w:id="125" w:name="ref-nijland2019"/>
    <w:p>
      <w:pPr>
        <w:pStyle w:val="Bibliography"/>
      </w:pPr>
      <w:r>
        <w:t xml:space="preserve">Nijland, Wiebe, Luba Reshitnyk, and Emily Rubidge. 2019.</w:t>
      </w:r>
      <w:r>
        <w:t xml:space="preserve"> </w:t>
      </w:r>
      <w:r>
        <w:t xml:space="preserve">“Satellite Remote Sensing of Canopy-Forming Kelp on a Complex Coastline: A Novel Procedure Using the Landsat Image Archive.”</w:t>
      </w:r>
      <w:r>
        <w:t xml:space="preserve"> </w:t>
      </w:r>
      <w:r>
        <w:rPr>
          <w:iCs/>
          <w:i/>
        </w:rPr>
        <w:t xml:space="preserve">Remote Sensing of Environment</w:t>
      </w:r>
      <w:r>
        <w:t xml:space="preserve"> </w:t>
      </w:r>
      <w:r>
        <w:t xml:space="preserve">220: 41–50.</w:t>
      </w:r>
    </w:p>
    <w:bookmarkEnd w:id="125"/>
    <w:bookmarkStart w:id="126" w:name="ref-oh2017use"/>
    <w:p>
      <w:pPr>
        <w:pStyle w:val="Bibliography"/>
      </w:pPr>
      <w:r>
        <w:t xml:space="preserve">Oh, Jaehong, Duk-jin Kim, and Hyoseong Lee. 2017.</w:t>
      </w:r>
      <w:r>
        <w:t xml:space="preserve"> </w:t>
      </w:r>
      <w:r>
        <w:t xml:space="preserve">“Use of a Drone for Mapping and Time Series Image Acquisition of Tidal Zones.”</w:t>
      </w:r>
      <w:r>
        <w:t xml:space="preserve"> </w:t>
      </w:r>
      <w:r>
        <w:rPr>
          <w:iCs/>
          <w:i/>
        </w:rPr>
        <w:t xml:space="preserve">Journal of the Korean Institute of Intelligent Systems</w:t>
      </w:r>
      <w:r>
        <w:t xml:space="preserve"> </w:t>
      </w:r>
      <w:r>
        <w:t xml:space="preserve">27 (2): 119–25.</w:t>
      </w:r>
    </w:p>
    <w:bookmarkEnd w:id="126"/>
    <w:bookmarkStart w:id="127" w:name="ref-orth2006"/>
    <w:p>
      <w:pPr>
        <w:pStyle w:val="Bibliography"/>
      </w:pPr>
      <w:r>
        <w:t xml:space="preserve">Orth, Robert J, Tim JB Carruthers, William C Dennison, Carlos M Duarte, James W Fourqurean, Kenneth L Heck, A Randall Hughes, et al. 2006.</w:t>
      </w:r>
      <w:r>
        <w:t xml:space="preserve"> </w:t>
      </w:r>
      <w:r>
        <w:t xml:space="preserve">“A Global Crisis for Seagrass Ecosystems.”</w:t>
      </w:r>
      <w:r>
        <w:t xml:space="preserve"> </w:t>
      </w:r>
      <w:r>
        <w:rPr>
          <w:iCs/>
          <w:i/>
        </w:rPr>
        <w:t xml:space="preserve">Bioscience</w:t>
      </w:r>
      <w:r>
        <w:t xml:space="preserve"> </w:t>
      </w:r>
      <w:r>
        <w:t xml:space="preserve">56 (12): 987–96.</w:t>
      </w:r>
    </w:p>
    <w:bookmarkEnd w:id="127"/>
    <w:bookmarkStart w:id="128" w:name="ref-Pereira2013"/>
    <w:p>
      <w:pPr>
        <w:pStyle w:val="Bibliography"/>
      </w:pPr>
      <w:r>
        <w:t xml:space="preserve">Pereira, Henrique Miguel, Simon Ferrier, Michele Walters, Gary N Geller, Rob HG Jongman, Robert J Scholes, Michael William Bruford, et al. 2013.</w:t>
      </w:r>
      <w:r>
        <w:t xml:space="preserve"> </w:t>
      </w:r>
      <w:r>
        <w:t xml:space="preserve">“Essential Biodiversity Variables.”</w:t>
      </w:r>
      <w:r>
        <w:t xml:space="preserve"> </w:t>
      </w:r>
      <w:r>
        <w:rPr>
          <w:iCs/>
          <w:i/>
        </w:rPr>
        <w:t xml:space="preserve">Science</w:t>
      </w:r>
      <w:r>
        <w:t xml:space="preserve"> </w:t>
      </w:r>
      <w:r>
        <w:t xml:space="preserve">339 (6117): 277–78.</w:t>
      </w:r>
    </w:p>
    <w:bookmarkEnd w:id="128"/>
    <w:bookmarkStart w:id="129" w:name="ref-ralph2002"/>
    <w:p>
      <w:pPr>
        <w:pStyle w:val="Bibliography"/>
      </w:pPr>
      <w:r>
        <w:t xml:space="preserve">Ralph, PJ, SM Polk, KA Moore, RJ Orth, and WO Smith Jr. 2002.</w:t>
      </w:r>
      <w:r>
        <w:t xml:space="preserve"> </w:t>
      </w:r>
      <w:r>
        <w:t xml:space="preserve">“Operation of the Xanthophyll Cycle in the Seagrass Zostera Marina in Response to Variable Irradiance.”</w:t>
      </w:r>
      <w:r>
        <w:t xml:space="preserve"> </w:t>
      </w:r>
      <w:r>
        <w:rPr>
          <w:iCs/>
          <w:i/>
        </w:rPr>
        <w:t xml:space="preserve">Journal of Experimental Marine Biology and Ecology</w:t>
      </w:r>
      <w:r>
        <w:t xml:space="preserve"> </w:t>
      </w:r>
      <w:r>
        <w:t xml:space="preserve">271 (2): 189–207.</w:t>
      </w:r>
    </w:p>
    <w:bookmarkEnd w:id="129"/>
    <w:bookmarkStart w:id="131" w:name="ref-Roca2022"/>
    <w:p>
      <w:pPr>
        <w:pStyle w:val="Bibliography"/>
      </w:pPr>
      <w:r>
        <w:t xml:space="preserve">Roca, Mar, Martha Bonnet Dunbar, Alejandro Román, Isabel Caballero, Maria Laura Zoffoli, Pierre Gernez, and Gabriel Navarro. 2022.</w:t>
      </w:r>
      <w:r>
        <w:t xml:space="preserve"> </w:t>
      </w:r>
      <w:r>
        <w:t xml:space="preserve">“Monitoring the Marine Invasive Alien Species Rugulopteryx Okamurae Using Unmanned Aerial Vehicles and Satellites.”</w:t>
      </w:r>
      <w:r>
        <w:t xml:space="preserve"> </w:t>
      </w:r>
      <w:r>
        <w:rPr>
          <w:iCs/>
          <w:i/>
        </w:rPr>
        <w:t xml:space="preserve">Frontiers in Marine Science</w:t>
      </w:r>
      <w:r>
        <w:t xml:space="preserve"> </w:t>
      </w:r>
      <w:r>
        <w:t xml:space="preserve">9 (October).</w:t>
      </w:r>
      <w:r>
        <w:t xml:space="preserve"> </w:t>
      </w:r>
      <w:hyperlink r:id="rId130">
        <w:r>
          <w:rPr>
            <w:rStyle w:val="Hyperlink"/>
          </w:rPr>
          <w:t xml:space="preserve">https://doi.org/10.3389/fmars.2022.1004012</w:t>
        </w:r>
      </w:hyperlink>
      <w:r>
        <w:t xml:space="preserve">.</w:t>
      </w:r>
    </w:p>
    <w:bookmarkEnd w:id="131"/>
    <w:bookmarkStart w:id="132" w:name="ref-Roman2021"/>
    <w:p>
      <w:pPr>
        <w:pStyle w:val="Bibliography"/>
      </w:pPr>
      <w:r>
        <w:t xml:space="preserve">Román, Alejandro, Antonio Tovar-Sánchez, Irene Olivé, and Gabriel Navarro. 2021.</w:t>
      </w:r>
      <w:r>
        <w:t xml:space="preserve"> </w:t>
      </w:r>
      <w:r>
        <w:t xml:space="preserve">“Using a UAV-Mounted Multispectral Camera for the Monitoring of Marine Macrophytes.”</w:t>
      </w:r>
      <w:r>
        <w:t xml:space="preserve"> </w:t>
      </w:r>
      <w:r>
        <w:rPr>
          <w:iCs/>
          <w:i/>
        </w:rPr>
        <w:t xml:space="preserve">Frontiers in Marine Science</w:t>
      </w:r>
      <w:r>
        <w:t xml:space="preserve">, 1225.</w:t>
      </w:r>
    </w:p>
    <w:bookmarkEnd w:id="132"/>
    <w:bookmarkStart w:id="133" w:name="ref-rossiter2020uav"/>
    <w:p>
      <w:pPr>
        <w:pStyle w:val="Bibliography"/>
      </w:pPr>
      <w:r>
        <w:t xml:space="preserve">Rossiter, Thomas, Thomas Furey, Tim McCarthy, and Dagmar B Stengel. 2020.</w:t>
      </w:r>
      <w:r>
        <w:t xml:space="preserve"> </w:t>
      </w:r>
      <w:r>
        <w:t xml:space="preserve">“UAV-Mounted Hyperspectral Mapping of Intertidal Macroalgae.”</w:t>
      </w:r>
      <w:r>
        <w:t xml:space="preserve"> </w:t>
      </w:r>
      <w:r>
        <w:rPr>
          <w:iCs/>
          <w:i/>
        </w:rPr>
        <w:t xml:space="preserve">Estuarine, Coastal and Shelf Science</w:t>
      </w:r>
      <w:r>
        <w:t xml:space="preserve"> </w:t>
      </w:r>
      <w:r>
        <w:t xml:space="preserve">242: 106789.</w:t>
      </w:r>
    </w:p>
    <w:bookmarkEnd w:id="133"/>
    <w:bookmarkStart w:id="134" w:name="ref-soissons2018"/>
    <w:p>
      <w:pPr>
        <w:pStyle w:val="Bibliography"/>
      </w:pPr>
      <w:r>
        <w:t xml:space="preserve">Soissons, Laura M, Eeke P Haanstra, Marieke M Van Katwijk, Ragnhild Asmus, Isabelle Auby, Laurent Barillé, Fernando G Brun, et al. 2018.</w:t>
      </w:r>
      <w:r>
        <w:t xml:space="preserve"> </w:t>
      </w:r>
      <w:r>
        <w:t xml:space="preserve">“Latitudinal Patterns in European Seagrass Carbon Reserves: Influence of Seasonal Fluctuations Versus Short-Term Stress and Disturbance Events.”</w:t>
      </w:r>
      <w:r>
        <w:t xml:space="preserve"> </w:t>
      </w:r>
      <w:r>
        <w:rPr>
          <w:iCs/>
          <w:i/>
        </w:rPr>
        <w:t xml:space="preserve">Frontiers in Plant Science</w:t>
      </w:r>
      <w:r>
        <w:t xml:space="preserve"> </w:t>
      </w:r>
      <w:r>
        <w:t xml:space="preserve">9: 88.</w:t>
      </w:r>
    </w:p>
    <w:bookmarkEnd w:id="134"/>
    <w:bookmarkStart w:id="135" w:name="ref-tallam2023"/>
    <w:p>
      <w:pPr>
        <w:pStyle w:val="Bibliography"/>
      </w:pPr>
      <w:r>
        <w:t xml:space="preserve">Tallam, Krti, Nam Nguyen, Jonathan Ventura, Andrew Fricker, Sadie Calhoun, Jennifer O’Leary, Mauriça Fitzgibbons, Ian Robbins, and Ryan K Walter. 2023.</w:t>
      </w:r>
      <w:r>
        <w:t xml:space="preserve"> </w:t>
      </w:r>
      <w:r>
        <w:t xml:space="preserve">“Application of Deep Learning for Classification of Intertidal Eelgrass from Drone-Acquired Imagery.”</w:t>
      </w:r>
      <w:r>
        <w:t xml:space="preserve"> </w:t>
      </w:r>
      <w:r>
        <w:rPr>
          <w:iCs/>
          <w:i/>
        </w:rPr>
        <w:t xml:space="preserve">Remote Sensing</w:t>
      </w:r>
      <w:r>
        <w:t xml:space="preserve"> </w:t>
      </w:r>
      <w:r>
        <w:t xml:space="preserve">15 (9): 2321.</w:t>
      </w:r>
    </w:p>
    <w:bookmarkEnd w:id="135"/>
    <w:bookmarkStart w:id="137" w:name="ref-Traganos2018"/>
    <w:p>
      <w:pPr>
        <w:pStyle w:val="Bibliography"/>
      </w:pPr>
      <w:r>
        <w:t xml:space="preserve">Traganos, Dimosthenis, and Peter Reinartz. 2018.</w:t>
      </w:r>
      <w:r>
        <w:t xml:space="preserve"> </w:t>
      </w:r>
      <w:r>
        <w:t xml:space="preserve">“Mapping Mediterranean Seagrasses with Sentinel-2 Imagery.”</w:t>
      </w:r>
      <w:r>
        <w:t xml:space="preserve"> </w:t>
      </w:r>
      <w:r>
        <w:rPr>
          <w:iCs/>
          <w:i/>
        </w:rPr>
        <w:t xml:space="preserve">Marine Pollution Bulletin</w:t>
      </w:r>
      <w:r>
        <w:t xml:space="preserve"> </w:t>
      </w:r>
      <w:r>
        <w:t xml:space="preserve">134: 197–209.</w:t>
      </w:r>
      <w:r>
        <w:t xml:space="preserve"> </w:t>
      </w:r>
      <w:hyperlink r:id="rId136">
        <w:r>
          <w:rPr>
            <w:rStyle w:val="Hyperlink"/>
          </w:rPr>
          <w:t xml:space="preserve">https://doi.org/10.1016/j.marpolbul.2017.06.075</w:t>
        </w:r>
      </w:hyperlink>
      <w:r>
        <w:t xml:space="preserve">.</w:t>
      </w:r>
    </w:p>
    <w:bookmarkEnd w:id="137"/>
    <w:bookmarkStart w:id="138" w:name="ref-tuya2013"/>
    <w:p>
      <w:pPr>
        <w:pStyle w:val="Bibliography"/>
      </w:pPr>
      <w:r>
        <w:t xml:space="preserve">Tuya, Fernando, Harue Hernandez-Zerpa, Fernando Espino, and Ricardo Haroun. 2013.</w:t>
      </w:r>
      <w:r>
        <w:t xml:space="preserve"> </w:t>
      </w:r>
      <w:r>
        <w:t xml:space="preserve">“Drastic Decadal Decline of the Seagrass Cymodocea Nodosa at Gran Canaria (Eastern Atlantic): Interactions with the Green Algae Caulerpa Prolifera.”</w:t>
      </w:r>
      <w:r>
        <w:t xml:space="preserve"> </w:t>
      </w:r>
      <w:r>
        <w:rPr>
          <w:iCs/>
          <w:i/>
        </w:rPr>
        <w:t xml:space="preserve">Aquatic Botany</w:t>
      </w:r>
      <w:r>
        <w:t xml:space="preserve"> </w:t>
      </w:r>
      <w:r>
        <w:t xml:space="preserve">105: 1–6.</w:t>
      </w:r>
    </w:p>
    <w:bookmarkEnd w:id="138"/>
    <w:bookmarkStart w:id="139" w:name="ref-unsworth2022"/>
    <w:p>
      <w:pPr>
        <w:pStyle w:val="Bibliography"/>
      </w:pPr>
      <w:r>
        <w:t xml:space="preserve">Unsworth, Richard KF, Leanne C Cullen-Unsworth, Benjamin LH Jones, and Richard J Lilley. 2022.</w:t>
      </w:r>
      <w:r>
        <w:t xml:space="preserve"> </w:t>
      </w:r>
      <w:r>
        <w:t xml:space="preserve">“The Planetary Role of Seagrass Conservation.”</w:t>
      </w:r>
      <w:r>
        <w:t xml:space="preserve"> </w:t>
      </w:r>
      <w:r>
        <w:rPr>
          <w:iCs/>
          <w:i/>
        </w:rPr>
        <w:t xml:space="preserve">Science</w:t>
      </w:r>
      <w:r>
        <w:t xml:space="preserve"> </w:t>
      </w:r>
      <w:r>
        <w:t xml:space="preserve">377 (6606): 609–13.</w:t>
      </w:r>
    </w:p>
    <w:bookmarkEnd w:id="139"/>
    <w:bookmarkStart w:id="140" w:name="ref-wang2022"/>
    <w:p>
      <w:pPr>
        <w:pStyle w:val="Bibliography"/>
      </w:pPr>
      <w:r>
        <w:t xml:space="preserve">Wang, Zhongyuan, Zhixiang Fang, Jianfeng Liang, and Xiao Song. 2022.</w:t>
      </w:r>
      <w:r>
        <w:t xml:space="preserve"> </w:t>
      </w:r>
      <w:r>
        <w:t xml:space="preserve">“Assessment of Global Habitat Suitability and Risk of Ocean Green Tides.”</w:t>
      </w:r>
      <w:r>
        <w:t xml:space="preserve"> </w:t>
      </w:r>
      <w:r>
        <w:rPr>
          <w:iCs/>
          <w:i/>
        </w:rPr>
        <w:t xml:space="preserve">Harmful Algae</w:t>
      </w:r>
      <w:r>
        <w:t xml:space="preserve"> </w:t>
      </w:r>
      <w:r>
        <w:t xml:space="preserve">119: 102324.</w:t>
      </w:r>
    </w:p>
    <w:bookmarkEnd w:id="140"/>
    <w:bookmarkStart w:id="141" w:name="ref-xu2021"/>
    <w:p>
      <w:pPr>
        <w:pStyle w:val="Bibliography"/>
      </w:pPr>
      <w:r>
        <w:t xml:space="preserve">Xu, Shaochun, Shuai Xu, Yi Zhou, Shidong Yue, Xiaomei Zhang, Ruiting Gu, Yu Zhang, Yongliang Qiao, and Mingjie Liu. 2021.</w:t>
      </w:r>
      <w:r>
        <w:t xml:space="preserve"> </w:t>
      </w:r>
      <w:r>
        <w:t xml:space="preserve">“Long-Term Changes in the Unique and Largest Seagrass Meadows in the Bohai Sea (China) Using Satellite (1974–2019) and Sonar Data: Implication for Conservation and Restoration.”</w:t>
      </w:r>
      <w:r>
        <w:t xml:space="preserve"> </w:t>
      </w:r>
      <w:r>
        <w:rPr>
          <w:iCs/>
          <w:i/>
        </w:rPr>
        <w:t xml:space="preserve">Remote Sensing</w:t>
      </w:r>
      <w:r>
        <w:t xml:space="preserve"> </w:t>
      </w:r>
      <w:r>
        <w:t xml:space="preserve">13 (5): 856.</w:t>
      </w:r>
    </w:p>
    <w:bookmarkEnd w:id="141"/>
    <w:bookmarkStart w:id="143" w:name="ref-Zoffoli2021"/>
    <w:p>
      <w:pPr>
        <w:pStyle w:val="Bibliography"/>
      </w:pPr>
      <w:r>
        <w:t xml:space="preserve">Zoffoli, Maria Laura, Pierre Gernez, Laurent Godet, Steef Peters, Simon Oiry, and Laurent Barillé. 2021.</w:t>
      </w:r>
      <w:r>
        <w:t xml:space="preserve"> </w:t>
      </w:r>
      <w:r>
        <w:t xml:space="preserve">“Decadal Increase in the Ecological Status of a North-Atlantic Intertidal Seagrass Meadow Observed with Multi-Mission Satellite Time-Series.”</w:t>
      </w:r>
      <w:r>
        <w:t xml:space="preserve"> </w:t>
      </w:r>
      <w:r>
        <w:rPr>
          <w:iCs/>
          <w:i/>
        </w:rPr>
        <w:t xml:space="preserve">Ecological Indicators</w:t>
      </w:r>
      <w:r>
        <w:t xml:space="preserve"> </w:t>
      </w:r>
      <w:r>
        <w:t xml:space="preserve">130 (November): 108033.</w:t>
      </w:r>
      <w:r>
        <w:t xml:space="preserve"> </w:t>
      </w:r>
      <w:hyperlink r:id="rId142">
        <w:r>
          <w:rPr>
            <w:rStyle w:val="Hyperlink"/>
          </w:rPr>
          <w:t xml:space="preserve">https://doi.org/10.1016/j.ecolind.2021.108033</w:t>
        </w:r>
      </w:hyperlink>
      <w:r>
        <w:t xml:space="preserve">.</w:t>
      </w:r>
    </w:p>
    <w:bookmarkEnd w:id="143"/>
    <w:bookmarkStart w:id="145" w:name="ref-Zoffoli2022"/>
    <w:p>
      <w:pPr>
        <w:pStyle w:val="Bibliography"/>
      </w:pPr>
      <w:r>
        <w:t xml:space="preserve">Zoffoli, Maria Laura, Pierre Gernez, Simon Oiry, Laurent Godet, Sébastien Dalloyau, Bede Ffinian Rowe Davies, and Laurent Barillé. 2022.</w:t>
      </w:r>
      <w:r>
        <w:t xml:space="preserve"> </w:t>
      </w:r>
      <w:r>
        <w:t xml:space="preserve">“Remote Sensing in Seagrass Ecology: Coupled Dynamics Between Migratory Herbivorous Birds and Intertidal Meadows Observed by Satellite During Four Decades.”</w:t>
      </w:r>
      <w:r>
        <w:t xml:space="preserve"> </w:t>
      </w:r>
      <w:r>
        <w:rPr>
          <w:iCs/>
          <w:i/>
        </w:rPr>
        <w:t xml:space="preserve">Remote Sensing in Ecology and Conservation</w:t>
      </w:r>
      <w:r>
        <w:t xml:space="preserve">, December.</w:t>
      </w:r>
      <w:r>
        <w:t xml:space="preserve"> </w:t>
      </w:r>
      <w:hyperlink r:id="rId144">
        <w:r>
          <w:rPr>
            <w:rStyle w:val="Hyperlink"/>
          </w:rPr>
          <w:t xml:space="preserve">https://doi.org/10.1002/rse2.319</w:t>
        </w:r>
      </w:hyperlink>
      <w:r>
        <w:t xml:space="preserve">.</w:t>
      </w:r>
    </w:p>
    <w:bookmarkEnd w:id="145"/>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22" Target="media/rId22.png" /><Relationship Type="http://schemas.openxmlformats.org/officeDocument/2006/relationships/image" Id="rId35" Target="media/rId35.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67" Target="media/rId67.png" /><Relationship Type="http://schemas.openxmlformats.org/officeDocument/2006/relationships/image" Id="rId29" Target="media/rId29.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20" Target="https://SigOiry.github.io/Drone_Paper_2023/index.qmd.html" TargetMode="External" /><Relationship Type="http://schemas.openxmlformats.org/officeDocument/2006/relationships/hyperlink" Id="rId144" Target="https://doi.org/10.1002/rse2.319" TargetMode="External" /><Relationship Type="http://schemas.openxmlformats.org/officeDocument/2006/relationships/hyperlink" Id="rId142" Target="https://doi.org/10.1016/j.ecolind.2021.108033" TargetMode="External" /><Relationship Type="http://schemas.openxmlformats.org/officeDocument/2006/relationships/hyperlink" Id="rId136" Target="https://doi.org/10.1016/j.marpolbul.2017.06.075" TargetMode="External" /><Relationship Type="http://schemas.openxmlformats.org/officeDocument/2006/relationships/hyperlink" Id="rId109" Target="https://doi.org/10.1016/j.rse.2023.113554" TargetMode="External" /><Relationship Type="http://schemas.openxmlformats.org/officeDocument/2006/relationships/hyperlink" Id="rId122" Target="https://doi.org/10.1111/GCB.14108" TargetMode="External" /><Relationship Type="http://schemas.openxmlformats.org/officeDocument/2006/relationships/hyperlink" Id="rId111" Target="https://doi.org/10.15468/n4ak6x" TargetMode="External" /><Relationship Type="http://schemas.openxmlformats.org/officeDocument/2006/relationships/hyperlink" Id="rId130" Target="https://doi.org/10.3389/fmars.2022.1004012" TargetMode="External" /><Relationship Type="http://schemas.openxmlformats.org/officeDocument/2006/relationships/hyperlink" Id="rId104" Target="https://doi.org/10.3390/RS14020307" TargetMode="External" /><Relationship Type="http://schemas.openxmlformats.org/officeDocument/2006/relationships/hyperlink" Id="rId11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Pierre Gernez; Ana I. Sousa; Philippe Rosa; Maria Laura Zoffoli; Guillaume Brunier; Laurent Barillé</dc:creator>
  <cp:keywords>Drone, Remote Sensing</cp:keywords>
  <dcterms:created xsi:type="dcterms:W3CDTF">2024-02-27T17:38:05Z</dcterms:created>
  <dcterms:modified xsi:type="dcterms:W3CDTF">2024-02-27T17:38:05Z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date">
    <vt:lpwstr>2024-02-27</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key-points">
    <vt:lpwstr/>
  </property>
  <property fmtid="{D5CDD505-2E9C-101B-9397-08002B2CF9AE}" pid="16" name="labels">
    <vt:lpwstr/>
  </property>
  <property fmtid="{D5CDD505-2E9C-101B-9397-08002B2CF9AE}" pid="17" name="lightbox">
    <vt:lpwstr>auto</vt:lpwstr>
  </property>
  <property fmtid="{D5CDD505-2E9C-101B-9397-08002B2CF9AE}" pid="18" name="manuscript">
    <vt:lpwstr/>
  </property>
  <property fmtid="{D5CDD505-2E9C-101B-9397-08002B2CF9AE}" pid="19" name="notebook-preview-options">
    <vt:lpwstr/>
  </property>
  <property fmtid="{D5CDD505-2E9C-101B-9397-08002B2CF9AE}" pid="20"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1" name="quarto-internal">
    <vt:lpwstr/>
  </property>
  <property fmtid="{D5CDD505-2E9C-101B-9397-08002B2CF9AE}" pid="22" name="remove-hidden">
    <vt:lpwstr>all</vt:lpwstr>
  </property>
  <property fmtid="{D5CDD505-2E9C-101B-9397-08002B2CF9AE}" pid="23" name="template-partials">
    <vt:lpwstr/>
  </property>
  <property fmtid="{D5CDD505-2E9C-101B-9397-08002B2CF9AE}" pid="24" name="theme">
    <vt:lpwstr>cosmo</vt:lpwstr>
  </property>
  <property fmtid="{D5CDD505-2E9C-101B-9397-08002B2CF9AE}" pid="25" name="title-block-style">
    <vt:lpwstr>manuscript</vt:lpwstr>
  </property>
  <property fmtid="{D5CDD505-2E9C-101B-9397-08002B2CF9AE}" pid="26" name="toc-title">
    <vt:lpwstr>Table of contents</vt:lpwstr>
  </property>
  <property fmtid="{D5CDD505-2E9C-101B-9397-08002B2CF9AE}" pid="27" name="unroll-markdown-cells">
    <vt:lpwstr>True</vt:lpwstr>
  </property>
</Properties>
</file>